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CLÁUSULA COMPROMISORIA. 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Toda controversia o diferencia que se derive de este contrato se resolverá por un Tribunal Arbitral que sesionará en el Centro de Conciliación y Arbitraje de la Cámara de Comercio de Tunja, de acuerdo con las siguientes reglas:</w:t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El Tribunal estará integrado por (indique un número impar, ya sea 1 o 3 árbitros) árbitro(s).</w:t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(El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/Los) árbitro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(s)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será(/n) designado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(/s) por las partes de común acuerdo. En caso de que no sea posible,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será(/n) designado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(/s) por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el Centro de Conciliación y Arbitraje de la Cámara de Comercio de Tunja, a solicitud de cualquiera de las partes.  </w:t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El procedimiento se sujetará a los reglamentos que para tal fin disponga el mencionado Centro de Arbitraje y se aplicarán de conformidad con los criterios que en ellos se establezcan. </w:t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El Tribunal decidirá en derecho.</w:t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Cuando se trate de un arbitraje en el que intervenga el Estado o una de sus entidades el numeral tercero deberá ajustarse, así:</w:t>
      </w:r>
    </w:p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El procedimiento se sujetará al previsto en la Ley 1563 de 2012 o las normas que la modifiquen o sustituyan.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Tahoma" w:cs="Tahoma" w:eastAsia="Tahoma" w:hAnsi="Tahom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u/4VciURV/9V7xMjp0akZMY1w==">CgMxLjA4AHIhMXFzZGJWSy1MN3RPQXFWR1Y2R3JuVEhIRUZCTDlteVd6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